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D5" w:rsidRPr="007D6906" w:rsidRDefault="004A63D5" w:rsidP="004A63D5">
      <w:pPr>
        <w:spacing w:after="0"/>
        <w:jc w:val="center"/>
        <w:rPr>
          <w:b/>
          <w:sz w:val="32"/>
        </w:rPr>
      </w:pPr>
      <w:r w:rsidRPr="007D6906">
        <w:rPr>
          <w:b/>
          <w:sz w:val="32"/>
        </w:rPr>
        <w:t>CFN 603 School Inter</w:t>
      </w:r>
      <w:r>
        <w:rPr>
          <w:b/>
          <w:sz w:val="32"/>
        </w:rPr>
        <w:t>-</w:t>
      </w:r>
      <w:r w:rsidRPr="007D6906">
        <w:rPr>
          <w:b/>
          <w:sz w:val="32"/>
        </w:rPr>
        <w:t>visit</w:t>
      </w:r>
      <w:r>
        <w:rPr>
          <w:b/>
          <w:sz w:val="32"/>
        </w:rPr>
        <w:t>at</w:t>
      </w:r>
      <w:r w:rsidRPr="007D6906">
        <w:rPr>
          <w:b/>
          <w:sz w:val="32"/>
        </w:rPr>
        <w:t>ion Program</w:t>
      </w:r>
    </w:p>
    <w:p w:rsidR="004A63D5" w:rsidRDefault="004A63D5" w:rsidP="004A63D5">
      <w:pPr>
        <w:spacing w:after="0"/>
      </w:pPr>
    </w:p>
    <w:p w:rsidR="004A63D5" w:rsidRPr="00BC3F33" w:rsidRDefault="004A63D5" w:rsidP="004A63D5">
      <w:pPr>
        <w:spacing w:after="0"/>
        <w:rPr>
          <w:b/>
          <w:sz w:val="28"/>
        </w:rPr>
      </w:pPr>
      <w:r w:rsidRPr="00BC3F33">
        <w:rPr>
          <w:b/>
          <w:sz w:val="28"/>
        </w:rPr>
        <w:t>Classroom visitation Reflection</w:t>
      </w:r>
      <w:r w:rsidR="001C56C2" w:rsidRPr="00BC3F33">
        <w:rPr>
          <w:b/>
          <w:sz w:val="28"/>
        </w:rPr>
        <w:t xml:space="preserve"> (based on QR Indicators</w:t>
      </w:r>
      <w:r w:rsidR="00747036" w:rsidRPr="00BC3F33">
        <w:rPr>
          <w:b/>
          <w:sz w:val="28"/>
        </w:rPr>
        <w:t xml:space="preserve"> 1.1, 1.2, and 2.2)</w:t>
      </w:r>
    </w:p>
    <w:p w:rsidR="004A63D5" w:rsidRDefault="004A63D5" w:rsidP="004A63D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BD618F" w:rsidTr="00FD6D51">
        <w:tc>
          <w:tcPr>
            <w:tcW w:w="3798" w:type="dxa"/>
          </w:tcPr>
          <w:p w:rsidR="00BD618F" w:rsidRPr="00AD2500" w:rsidRDefault="00AD250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2500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During the Lesson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the Teacher</w:t>
            </w:r>
            <w:r w:rsidR="00F21B8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D25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…</w:t>
            </w:r>
          </w:p>
        </w:tc>
        <w:tc>
          <w:tcPr>
            <w:tcW w:w="7218" w:type="dxa"/>
          </w:tcPr>
          <w:p w:rsidR="00BD618F" w:rsidRPr="00CF150A" w:rsidRDefault="00CF150A" w:rsidP="00CF1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150A">
              <w:rPr>
                <w:rFonts w:ascii="Arial" w:hAnsi="Arial" w:cs="Arial"/>
                <w:b/>
                <w:color w:val="000000"/>
                <w:sz w:val="20"/>
                <w:szCs w:val="20"/>
              </w:rPr>
              <w:t>EVIDENCE FROM LESSON</w:t>
            </w:r>
          </w:p>
        </w:tc>
      </w:tr>
      <w:tr w:rsidR="00BD618F" w:rsidTr="00FD6D51">
        <w:tc>
          <w:tcPr>
            <w:tcW w:w="3798" w:type="dxa"/>
          </w:tcPr>
          <w:p w:rsidR="001C56C2" w:rsidRDefault="001C56C2" w:rsidP="00EF0C15">
            <w:pPr>
              <w:rPr>
                <w:sz w:val="20"/>
              </w:rPr>
            </w:pPr>
          </w:p>
          <w:p w:rsidR="00AD2500" w:rsidRDefault="00AD2500" w:rsidP="00EF0C15">
            <w:pPr>
              <w:rPr>
                <w:sz w:val="20"/>
                <w:szCs w:val="20"/>
              </w:rPr>
            </w:pPr>
            <w:r w:rsidRPr="001C56C2">
              <w:rPr>
                <w:sz w:val="20"/>
                <w:szCs w:val="20"/>
              </w:rPr>
              <w:t>U</w:t>
            </w:r>
            <w:r w:rsidR="00F21B84">
              <w:rPr>
                <w:sz w:val="20"/>
                <w:szCs w:val="20"/>
              </w:rPr>
              <w:t>se</w:t>
            </w:r>
            <w:r w:rsidR="00CF150A" w:rsidRPr="001C56C2">
              <w:rPr>
                <w:sz w:val="20"/>
                <w:szCs w:val="20"/>
              </w:rPr>
              <w:t xml:space="preserve"> </w:t>
            </w:r>
            <w:r w:rsidRPr="001C56C2">
              <w:rPr>
                <w:sz w:val="20"/>
                <w:szCs w:val="20"/>
              </w:rPr>
              <w:t xml:space="preserve">instructional </w:t>
            </w:r>
            <w:r w:rsidR="00CF150A" w:rsidRPr="001C56C2">
              <w:rPr>
                <w:sz w:val="20"/>
                <w:szCs w:val="20"/>
              </w:rPr>
              <w:t>strategies such as inquiry, project-based and collaborative learning, questioning and</w:t>
            </w:r>
            <w:r w:rsidRPr="001C56C2">
              <w:rPr>
                <w:sz w:val="20"/>
                <w:szCs w:val="20"/>
              </w:rPr>
              <w:t>/or</w:t>
            </w:r>
            <w:r w:rsidR="00CF150A" w:rsidRPr="001C56C2">
              <w:rPr>
                <w:sz w:val="20"/>
                <w:szCs w:val="20"/>
              </w:rPr>
              <w:t xml:space="preserve"> discussions that promote high levels of thinking</w:t>
            </w:r>
            <w:r w:rsidR="001C56C2" w:rsidRPr="001C56C2">
              <w:rPr>
                <w:sz w:val="20"/>
                <w:szCs w:val="20"/>
              </w:rPr>
              <w:t xml:space="preserve"> </w:t>
            </w:r>
            <w:r w:rsidR="001C56C2">
              <w:rPr>
                <w:sz w:val="20"/>
                <w:szCs w:val="20"/>
              </w:rPr>
              <w:t>and provide</w:t>
            </w:r>
            <w:r w:rsidR="001C56C2" w:rsidRPr="001C56C2">
              <w:rPr>
                <w:sz w:val="20"/>
                <w:szCs w:val="20"/>
              </w:rPr>
              <w:t xml:space="preserve"> multiple entry points to lessons and tasks for all learners including ELLs and SWDs.</w:t>
            </w:r>
          </w:p>
          <w:p w:rsidR="001C56C2" w:rsidRPr="001C56C2" w:rsidRDefault="001C56C2" w:rsidP="00EF0C15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BD618F" w:rsidRDefault="00BD61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618F" w:rsidTr="00FD6D51">
        <w:tc>
          <w:tcPr>
            <w:tcW w:w="3798" w:type="dxa"/>
          </w:tcPr>
          <w:p w:rsidR="001C56C2" w:rsidRDefault="001C56C2" w:rsidP="00CF150A">
            <w:pPr>
              <w:rPr>
                <w:sz w:val="20"/>
              </w:rPr>
            </w:pPr>
          </w:p>
          <w:p w:rsidR="00BD618F" w:rsidRDefault="00AD2500" w:rsidP="00CF150A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CF150A" w:rsidRPr="00AD2500">
              <w:rPr>
                <w:sz w:val="20"/>
              </w:rPr>
              <w:t>trategically use scaffolds</w:t>
            </w:r>
            <w:r w:rsidRPr="00AD2500">
              <w:rPr>
                <w:sz w:val="20"/>
              </w:rPr>
              <w:t xml:space="preserve"> techniques (</w:t>
            </w:r>
            <w:r w:rsidRPr="00AD2500">
              <w:rPr>
                <w:i/>
                <w:sz w:val="20"/>
              </w:rPr>
              <w:t>e.g. modeling, needs-based grouping, activating prior knowledge, effective use of  graphic organizers, visuals, imagery, and technology, building academic vocabulary, etc.</w:t>
            </w:r>
            <w:r w:rsidRPr="00AD2500">
              <w:rPr>
                <w:sz w:val="20"/>
              </w:rPr>
              <w:t>)</w:t>
            </w:r>
            <w:r w:rsidR="00CF150A" w:rsidRPr="00AD2500">
              <w:rPr>
                <w:sz w:val="20"/>
              </w:rPr>
              <w:t>, questioning, opportunities for choice and other teaching practices to create a variety of ways for students to access the content, learning project, or task</w:t>
            </w:r>
            <w:r w:rsidRPr="00AD2500">
              <w:rPr>
                <w:sz w:val="20"/>
              </w:rPr>
              <w:t>s</w:t>
            </w:r>
            <w:r w:rsidR="00CF150A" w:rsidRPr="00AD2500">
              <w:rPr>
                <w:sz w:val="20"/>
              </w:rPr>
              <w:t xml:space="preserve">. </w:t>
            </w:r>
          </w:p>
          <w:p w:rsidR="00AD2500" w:rsidRPr="00AD2500" w:rsidRDefault="00AD2500" w:rsidP="00CF150A">
            <w:pPr>
              <w:rPr>
                <w:sz w:val="20"/>
              </w:rPr>
            </w:pPr>
          </w:p>
        </w:tc>
        <w:tc>
          <w:tcPr>
            <w:tcW w:w="7218" w:type="dxa"/>
          </w:tcPr>
          <w:p w:rsidR="00BD618F" w:rsidRDefault="00BD61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618F" w:rsidTr="00FD6D51">
        <w:tc>
          <w:tcPr>
            <w:tcW w:w="3798" w:type="dxa"/>
          </w:tcPr>
          <w:p w:rsidR="001C56C2" w:rsidRDefault="001C56C2">
            <w:pPr>
              <w:rPr>
                <w:sz w:val="20"/>
              </w:rPr>
            </w:pPr>
          </w:p>
          <w:p w:rsidR="00BD618F" w:rsidRPr="00AD2500" w:rsidRDefault="00AD2500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CF150A" w:rsidRPr="00AD2500">
              <w:rPr>
                <w:sz w:val="20"/>
              </w:rPr>
              <w:t>rovide students with challenging</w:t>
            </w:r>
            <w:r w:rsidR="005736D7">
              <w:rPr>
                <w:sz w:val="20"/>
              </w:rPr>
              <w:t xml:space="preserve"> (rigorous)</w:t>
            </w:r>
            <w:r w:rsidR="00CF150A" w:rsidRPr="00AD2500">
              <w:rPr>
                <w:sz w:val="20"/>
              </w:rPr>
              <w:t xml:space="preserve"> learning </w:t>
            </w:r>
            <w:r w:rsidR="00EF0C15" w:rsidRPr="00AD2500">
              <w:rPr>
                <w:sz w:val="20"/>
              </w:rPr>
              <w:t xml:space="preserve">tasks that require them to use </w:t>
            </w:r>
            <w:r w:rsidR="00CF150A" w:rsidRPr="00AD2500">
              <w:rPr>
                <w:sz w:val="20"/>
              </w:rPr>
              <w:t xml:space="preserve">critical thinking, analysis, and problem solving; tasks encourage inquiry, collaboration, and ownership among students. </w:t>
            </w:r>
          </w:p>
          <w:p w:rsidR="00AD2500" w:rsidRPr="00AD2500" w:rsidRDefault="00AD2500">
            <w:pPr>
              <w:rPr>
                <w:sz w:val="20"/>
              </w:rPr>
            </w:pPr>
          </w:p>
          <w:p w:rsidR="00AD2500" w:rsidRPr="00AD2500" w:rsidRDefault="00AD2500">
            <w:pPr>
              <w:rPr>
                <w:sz w:val="20"/>
              </w:rPr>
            </w:pPr>
          </w:p>
          <w:p w:rsidR="00AD2500" w:rsidRPr="00AD2500" w:rsidRDefault="00AD2500">
            <w:pPr>
              <w:rPr>
                <w:sz w:val="20"/>
              </w:rPr>
            </w:pPr>
          </w:p>
        </w:tc>
        <w:tc>
          <w:tcPr>
            <w:tcW w:w="7218" w:type="dxa"/>
          </w:tcPr>
          <w:p w:rsidR="00BD618F" w:rsidRDefault="00BD61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618F" w:rsidTr="00FD6D51">
        <w:tc>
          <w:tcPr>
            <w:tcW w:w="3798" w:type="dxa"/>
          </w:tcPr>
          <w:p w:rsidR="00AD2500" w:rsidRPr="001C56C2" w:rsidRDefault="00AD2500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CF150A" w:rsidRPr="00AD2500">
              <w:rPr>
                <w:sz w:val="20"/>
              </w:rPr>
              <w:t xml:space="preserve">se a variety or series of questions or prompts to challenge students cognitively, advance high level thinking and </w:t>
            </w:r>
            <w:r w:rsidRPr="00AD2500">
              <w:rPr>
                <w:sz w:val="20"/>
              </w:rPr>
              <w:t>ample student-to-student dialogue using academic vocabulary and evidence-based accountable talk</w:t>
            </w:r>
            <w:r w:rsidR="00CF150A" w:rsidRPr="00AD2500">
              <w:rPr>
                <w:sz w:val="20"/>
              </w:rPr>
              <w:t>. These high quality questions encourage students to make connections among concepts or events previously believed to be unrelated, and arrive at new understandings of complex material.</w:t>
            </w:r>
          </w:p>
        </w:tc>
        <w:tc>
          <w:tcPr>
            <w:tcW w:w="7218" w:type="dxa"/>
          </w:tcPr>
          <w:p w:rsidR="00BD618F" w:rsidRDefault="00BD61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50A" w:rsidTr="00FD6D51">
        <w:tc>
          <w:tcPr>
            <w:tcW w:w="3798" w:type="dxa"/>
          </w:tcPr>
          <w:p w:rsidR="001C56C2" w:rsidRDefault="001C56C2" w:rsidP="00CF150A">
            <w:pPr>
              <w:rPr>
                <w:sz w:val="20"/>
              </w:rPr>
            </w:pPr>
          </w:p>
          <w:p w:rsidR="00CF150A" w:rsidRDefault="00F21B84" w:rsidP="00CF150A">
            <w:pPr>
              <w:rPr>
                <w:sz w:val="20"/>
              </w:rPr>
            </w:pPr>
            <w:r>
              <w:rPr>
                <w:sz w:val="20"/>
              </w:rPr>
              <w:t>Are</w:t>
            </w:r>
            <w:r w:rsidR="00FD6D51" w:rsidRPr="00AD2500">
              <w:rPr>
                <w:sz w:val="20"/>
              </w:rPr>
              <w:t xml:space="preserve"> visi</w:t>
            </w:r>
            <w:r w:rsidR="00FD6D51">
              <w:rPr>
                <w:sz w:val="20"/>
              </w:rPr>
              <w:t xml:space="preserve">bly active and continuously monitoring student </w:t>
            </w:r>
            <w:r w:rsidR="00CF150A" w:rsidRPr="00AD2500">
              <w:rPr>
                <w:sz w:val="20"/>
              </w:rPr>
              <w:t>understanding during lessons</w:t>
            </w:r>
            <w:r w:rsidR="00AD2500">
              <w:rPr>
                <w:sz w:val="20"/>
              </w:rPr>
              <w:t xml:space="preserve">: The </w:t>
            </w:r>
            <w:r w:rsidR="00EF0C15" w:rsidRPr="00AD2500">
              <w:rPr>
                <w:sz w:val="20"/>
              </w:rPr>
              <w:t>teacher</w:t>
            </w:r>
            <w:r>
              <w:rPr>
                <w:sz w:val="20"/>
              </w:rPr>
              <w:t>s</w:t>
            </w:r>
            <w:r w:rsidR="00EF0C15" w:rsidRPr="00AD2500">
              <w:rPr>
                <w:sz w:val="20"/>
              </w:rPr>
              <w:t xml:space="preserve"> </w:t>
            </w:r>
            <w:r w:rsidR="00CF150A" w:rsidRPr="00AD2500">
              <w:rPr>
                <w:sz w:val="20"/>
              </w:rPr>
              <w:t>makes frequen</w:t>
            </w:r>
            <w:r w:rsidR="00AD2500" w:rsidRPr="00AD2500">
              <w:rPr>
                <w:sz w:val="20"/>
              </w:rPr>
              <w:t xml:space="preserve">t use of strategies (e.g. cold </w:t>
            </w:r>
            <w:r w:rsidR="00CF150A" w:rsidRPr="00AD2500">
              <w:rPr>
                <w:sz w:val="20"/>
              </w:rPr>
              <w:t>call, questioning for explanation, stop and jot prompts, parking lot, double entry journal</w:t>
            </w:r>
            <w:r w:rsidR="00EF0C15" w:rsidRPr="00AD2500">
              <w:rPr>
                <w:sz w:val="20"/>
              </w:rPr>
              <w:t xml:space="preserve">s, exit slips </w:t>
            </w:r>
            <w:r w:rsidR="00CF150A" w:rsidRPr="00AD2500">
              <w:rPr>
                <w:sz w:val="20"/>
              </w:rPr>
              <w:t>etc.) to elicit information about individual student understanding and trends</w:t>
            </w:r>
          </w:p>
          <w:p w:rsidR="00AD2500" w:rsidRPr="00AD2500" w:rsidRDefault="00AD2500" w:rsidP="00CF150A">
            <w:pPr>
              <w:rPr>
                <w:sz w:val="20"/>
              </w:rPr>
            </w:pPr>
          </w:p>
        </w:tc>
        <w:tc>
          <w:tcPr>
            <w:tcW w:w="7218" w:type="dxa"/>
          </w:tcPr>
          <w:p w:rsidR="00CF150A" w:rsidRDefault="00CF1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1B84" w:rsidRDefault="00F21B84" w:rsidP="005736D7">
      <w:pPr>
        <w:rPr>
          <w:b/>
          <w:sz w:val="28"/>
        </w:rPr>
      </w:pPr>
    </w:p>
    <w:p w:rsidR="00BD618F" w:rsidRPr="00BC3F33" w:rsidRDefault="00747036" w:rsidP="005736D7">
      <w:pPr>
        <w:rPr>
          <w:rFonts w:ascii="Arial" w:hAnsi="Arial" w:cs="Arial"/>
          <w:color w:val="000000"/>
          <w:sz w:val="24"/>
          <w:szCs w:val="20"/>
        </w:rPr>
      </w:pPr>
      <w:bookmarkStart w:id="0" w:name="_GoBack"/>
      <w:bookmarkEnd w:id="0"/>
      <w:r w:rsidRPr="00BC3F33">
        <w:rPr>
          <w:b/>
          <w:sz w:val="28"/>
        </w:rPr>
        <w:lastRenderedPageBreak/>
        <w:t xml:space="preserve">Classroom visitation Reflection (based on </w:t>
      </w:r>
      <w:r w:rsidR="00333363" w:rsidRPr="00BC3F33">
        <w:rPr>
          <w:b/>
          <w:sz w:val="28"/>
        </w:rPr>
        <w:t>Danielson Domains</w:t>
      </w:r>
      <w:r w:rsidRPr="00BC3F33">
        <w:rPr>
          <w:b/>
          <w:sz w:val="28"/>
        </w:rPr>
        <w:t xml:space="preserve"> 3)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5825"/>
        <w:gridCol w:w="5281"/>
      </w:tblGrid>
      <w:tr w:rsidR="00333363" w:rsidTr="005736D7">
        <w:trPr>
          <w:trHeight w:val="266"/>
        </w:trPr>
        <w:tc>
          <w:tcPr>
            <w:tcW w:w="5825" w:type="dxa"/>
          </w:tcPr>
          <w:p w:rsidR="00333363" w:rsidRPr="00116941" w:rsidRDefault="00116941" w:rsidP="00BD618F">
            <w:pPr>
              <w:rPr>
                <w:b/>
              </w:rPr>
            </w:pPr>
            <w:r w:rsidRPr="00116941">
              <w:rPr>
                <w:b/>
              </w:rPr>
              <w:t>Danielson Domain 3</w:t>
            </w:r>
          </w:p>
        </w:tc>
        <w:tc>
          <w:tcPr>
            <w:tcW w:w="5281" w:type="dxa"/>
          </w:tcPr>
          <w:p w:rsidR="00333363" w:rsidRPr="00116941" w:rsidRDefault="00116941" w:rsidP="00116941">
            <w:pPr>
              <w:jc w:val="center"/>
              <w:rPr>
                <w:b/>
              </w:rPr>
            </w:pPr>
            <w:r w:rsidRPr="00116941">
              <w:rPr>
                <w:b/>
              </w:rPr>
              <w:t>EVIDENCE FROM LESSON</w:t>
            </w:r>
          </w:p>
        </w:tc>
      </w:tr>
      <w:tr w:rsidR="00333363" w:rsidTr="005736D7">
        <w:trPr>
          <w:trHeight w:val="1969"/>
        </w:trPr>
        <w:tc>
          <w:tcPr>
            <w:tcW w:w="5825" w:type="dxa"/>
          </w:tcPr>
          <w:p w:rsidR="00333363" w:rsidRPr="00116941" w:rsidRDefault="00333363" w:rsidP="00BD61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941">
              <w:rPr>
                <w:rFonts w:ascii="Arial" w:hAnsi="Arial" w:cs="Arial"/>
                <w:b/>
                <w:color w:val="000000"/>
                <w:sz w:val="20"/>
                <w:szCs w:val="20"/>
              </w:rPr>
              <w:t>3a Communicating With Students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1"/>
              </w:numPr>
            </w:pPr>
            <w:r>
              <w:t xml:space="preserve">Clarity of lesson purpose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1"/>
              </w:numPr>
            </w:pPr>
            <w:r>
              <w:t xml:space="preserve">Clear directions and procedures specifics to the lesson activities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1"/>
              </w:numPr>
            </w:pPr>
            <w:r>
              <w:t xml:space="preserve">Absence of content errors and clear explanations of concepts and strategies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1"/>
              </w:numPr>
            </w:pPr>
            <w:r>
              <w:t xml:space="preserve">Correct and imaginative use of language </w:t>
            </w:r>
          </w:p>
        </w:tc>
        <w:tc>
          <w:tcPr>
            <w:tcW w:w="5281" w:type="dxa"/>
          </w:tcPr>
          <w:p w:rsidR="00333363" w:rsidRDefault="00333363" w:rsidP="00BD618F"/>
        </w:tc>
      </w:tr>
      <w:tr w:rsidR="00333363" w:rsidTr="005736D7">
        <w:trPr>
          <w:trHeight w:val="3937"/>
        </w:trPr>
        <w:tc>
          <w:tcPr>
            <w:tcW w:w="5825" w:type="dxa"/>
          </w:tcPr>
          <w:p w:rsidR="00333363" w:rsidRPr="00116941" w:rsidRDefault="00333363" w:rsidP="00BD61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941">
              <w:rPr>
                <w:rFonts w:ascii="Arial" w:hAnsi="Arial" w:cs="Arial"/>
                <w:b/>
                <w:color w:val="000000"/>
                <w:sz w:val="20"/>
                <w:szCs w:val="20"/>
              </w:rPr>
              <w:t>3b Using Questioning and Discussion Techniques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2"/>
              </w:numPr>
            </w:pPr>
            <w:r>
              <w:t xml:space="preserve">Questions of high cognitive challenge, formulated by both students and teacher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2"/>
              </w:numPr>
            </w:pPr>
            <w:r>
              <w:t xml:space="preserve">Questions with multiple correct answers or multiple approaches, even when there is a single correct response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2"/>
              </w:numPr>
            </w:pPr>
            <w:r>
              <w:t xml:space="preserve">Effective use of student responses and ideas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2"/>
              </w:numPr>
            </w:pPr>
            <w:r>
              <w:t xml:space="preserve">Discussion, with the teacher stepping out of the central, mediating role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2"/>
              </w:numPr>
            </w:pPr>
            <w:r>
              <w:t xml:space="preserve">Focus on the reasoning exhibited by students in discussion, both in give-and-take with the teacher and with their </w:t>
            </w:r>
          </w:p>
          <w:p w:rsidR="00116941" w:rsidRDefault="00116941" w:rsidP="00116941">
            <w:pPr>
              <w:pStyle w:val="ListParagraph"/>
            </w:pPr>
            <w:r>
              <w:t>classmates  High levels of student participation in discussion</w:t>
            </w:r>
          </w:p>
        </w:tc>
        <w:tc>
          <w:tcPr>
            <w:tcW w:w="5281" w:type="dxa"/>
          </w:tcPr>
          <w:p w:rsidR="00333363" w:rsidRDefault="00333363" w:rsidP="00BD618F"/>
        </w:tc>
      </w:tr>
      <w:tr w:rsidR="00333363" w:rsidTr="005736D7">
        <w:trPr>
          <w:trHeight w:val="3093"/>
        </w:trPr>
        <w:tc>
          <w:tcPr>
            <w:tcW w:w="5825" w:type="dxa"/>
          </w:tcPr>
          <w:p w:rsidR="00333363" w:rsidRPr="00116941" w:rsidRDefault="00333363" w:rsidP="00BD61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941">
              <w:rPr>
                <w:rFonts w:ascii="Arial" w:hAnsi="Arial" w:cs="Arial"/>
                <w:b/>
                <w:color w:val="000000"/>
                <w:sz w:val="20"/>
                <w:szCs w:val="20"/>
              </w:rPr>
              <w:t>3c Engaging Students in Learning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enthusiasm, interest, thinking, problem solving, etc.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3"/>
              </w:numPr>
            </w:pPr>
            <w:r>
              <w:t xml:space="preserve">Learning tasks that require high-level student thinking and invite students to explain their thinking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3"/>
              </w:numPr>
            </w:pPr>
            <w:r>
              <w:t xml:space="preserve">Students highly motivated to work on all tasks and persistent even when the tasks are challenging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3"/>
              </w:numPr>
            </w:pPr>
            <w:r>
              <w:t xml:space="preserve">Students actively “working,” rather than watching while their teacher “works”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3"/>
              </w:numPr>
            </w:pPr>
            <w:r>
              <w:t>Suitable pacing of the lesson: neither dragged out or rushed, with time for closure and student reflection</w:t>
            </w:r>
          </w:p>
        </w:tc>
        <w:tc>
          <w:tcPr>
            <w:tcW w:w="5281" w:type="dxa"/>
          </w:tcPr>
          <w:p w:rsidR="00333363" w:rsidRDefault="00333363" w:rsidP="00BD618F"/>
        </w:tc>
      </w:tr>
      <w:tr w:rsidR="00333363" w:rsidTr="005736D7">
        <w:trPr>
          <w:trHeight w:val="2515"/>
        </w:trPr>
        <w:tc>
          <w:tcPr>
            <w:tcW w:w="5825" w:type="dxa"/>
          </w:tcPr>
          <w:p w:rsidR="00333363" w:rsidRPr="00116941" w:rsidRDefault="00333363" w:rsidP="00BD61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6941">
              <w:rPr>
                <w:rFonts w:ascii="Arial" w:hAnsi="Arial" w:cs="Arial"/>
                <w:b/>
                <w:color w:val="000000"/>
                <w:sz w:val="20"/>
                <w:szCs w:val="20"/>
              </w:rPr>
              <w:t>3d Using Assessment in Instruction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4"/>
              </w:numPr>
            </w:pPr>
            <w:r>
              <w:t xml:space="preserve">The teacher paying close attention to evidence of student understanding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4"/>
              </w:numPr>
            </w:pPr>
            <w:r>
              <w:t xml:space="preserve">The teacher posing specifically created questions to elicit evidence of student understanding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4"/>
              </w:numPr>
            </w:pPr>
            <w:r>
              <w:t xml:space="preserve">The teacher circulating to monitor student learning and to offer feedback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assessing their own work against established criteria </w:t>
            </w:r>
          </w:p>
        </w:tc>
        <w:tc>
          <w:tcPr>
            <w:tcW w:w="5281" w:type="dxa"/>
          </w:tcPr>
          <w:p w:rsidR="00333363" w:rsidRDefault="00333363" w:rsidP="00BD618F"/>
        </w:tc>
      </w:tr>
      <w:tr w:rsidR="00333363" w:rsidTr="005736D7">
        <w:trPr>
          <w:trHeight w:val="1672"/>
        </w:trPr>
        <w:tc>
          <w:tcPr>
            <w:tcW w:w="5825" w:type="dxa"/>
          </w:tcPr>
          <w:p w:rsidR="00333363" w:rsidRPr="005736D7" w:rsidRDefault="00116941" w:rsidP="00BD61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36D7">
              <w:rPr>
                <w:rFonts w:ascii="Arial" w:hAnsi="Arial" w:cs="Arial"/>
                <w:b/>
                <w:color w:val="000000"/>
                <w:sz w:val="20"/>
                <w:szCs w:val="20"/>
              </w:rPr>
              <w:t>3e Demonstrating Flexibility and Responsiveness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5"/>
              </w:numPr>
            </w:pPr>
            <w:r>
              <w:t xml:space="preserve">Incorporation of students’ interests and daily events into a lesson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5"/>
              </w:numPr>
            </w:pPr>
            <w:r>
              <w:t xml:space="preserve">The teacher adjusting instruction in response to evidence of student understanding (or lack of it) </w:t>
            </w:r>
          </w:p>
          <w:p w:rsidR="00116941" w:rsidRDefault="00116941" w:rsidP="00116941">
            <w:pPr>
              <w:pStyle w:val="ListParagraph"/>
              <w:numPr>
                <w:ilvl w:val="0"/>
                <w:numId w:val="5"/>
              </w:numPr>
            </w:pPr>
            <w:r>
              <w:t>The teacher seizing a teachable moment</w:t>
            </w:r>
          </w:p>
        </w:tc>
        <w:tc>
          <w:tcPr>
            <w:tcW w:w="5281" w:type="dxa"/>
          </w:tcPr>
          <w:p w:rsidR="00333363" w:rsidRDefault="00333363" w:rsidP="00BD618F"/>
        </w:tc>
      </w:tr>
    </w:tbl>
    <w:p w:rsidR="00AD2500" w:rsidRDefault="00AD2500" w:rsidP="00AD2500">
      <w:pPr>
        <w:spacing w:after="0"/>
      </w:pPr>
    </w:p>
    <w:sectPr w:rsidR="00AD2500" w:rsidSect="004A6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668"/>
    <w:multiLevelType w:val="hybridMultilevel"/>
    <w:tmpl w:val="A1C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86143"/>
    <w:multiLevelType w:val="hybridMultilevel"/>
    <w:tmpl w:val="FFC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50E0"/>
    <w:multiLevelType w:val="hybridMultilevel"/>
    <w:tmpl w:val="E71C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D084B"/>
    <w:multiLevelType w:val="hybridMultilevel"/>
    <w:tmpl w:val="8B28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E1BF3"/>
    <w:multiLevelType w:val="hybridMultilevel"/>
    <w:tmpl w:val="FCE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5"/>
    <w:rsid w:val="00116941"/>
    <w:rsid w:val="001C56C2"/>
    <w:rsid w:val="00333363"/>
    <w:rsid w:val="004A63D5"/>
    <w:rsid w:val="005736D7"/>
    <w:rsid w:val="005C529A"/>
    <w:rsid w:val="00747036"/>
    <w:rsid w:val="00AD2500"/>
    <w:rsid w:val="00BC3F33"/>
    <w:rsid w:val="00BD618F"/>
    <w:rsid w:val="00CF150A"/>
    <w:rsid w:val="00EF0C15"/>
    <w:rsid w:val="00F21B84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2</cp:revision>
  <dcterms:created xsi:type="dcterms:W3CDTF">2014-03-12T18:05:00Z</dcterms:created>
  <dcterms:modified xsi:type="dcterms:W3CDTF">2014-03-12T18:05:00Z</dcterms:modified>
</cp:coreProperties>
</file>